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96"/>
        <w:gridCol w:w="3597"/>
        <w:gridCol w:w="3597"/>
      </w:tblGrid>
      <w:tr w:rsidR="00E80B4A" w:rsidRPr="00635BE9" w:rsidTr="0026642B">
        <w:tc>
          <w:tcPr>
            <w:tcW w:w="3596" w:type="dxa"/>
          </w:tcPr>
          <w:p w:rsidR="00E80B4A" w:rsidRPr="00635BE9" w:rsidRDefault="00E80B4A" w:rsidP="00635BE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bookmarkStart w:id="0" w:name="_GoBack" w:colFirst="0" w:colLast="0"/>
            <w:r w:rsidRPr="00635BE9">
              <w:rPr>
                <w:rFonts w:ascii="Verdana" w:hAnsi="Verdana"/>
                <w:b/>
                <w:sz w:val="20"/>
                <w:szCs w:val="20"/>
                <w:lang w:val="bg-BG"/>
              </w:rPr>
              <w:t>Основание</w:t>
            </w:r>
          </w:p>
        </w:tc>
        <w:tc>
          <w:tcPr>
            <w:tcW w:w="3597" w:type="dxa"/>
          </w:tcPr>
          <w:p w:rsidR="00E80B4A" w:rsidRPr="00635BE9" w:rsidRDefault="00E80B4A" w:rsidP="00635BE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b/>
                <w:sz w:val="20"/>
                <w:szCs w:val="20"/>
                <w:lang w:val="bg-BG"/>
              </w:rPr>
              <w:t>Документ</w:t>
            </w:r>
          </w:p>
        </w:tc>
        <w:tc>
          <w:tcPr>
            <w:tcW w:w="3597" w:type="dxa"/>
          </w:tcPr>
          <w:p w:rsidR="00E80B4A" w:rsidRPr="00635BE9" w:rsidRDefault="00E80B4A" w:rsidP="00635BE9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b/>
                <w:sz w:val="20"/>
                <w:szCs w:val="20"/>
                <w:lang w:val="bg-BG"/>
              </w:rPr>
              <w:t>Изисквания</w:t>
            </w:r>
          </w:p>
        </w:tc>
      </w:tr>
      <w:tr w:rsidR="00635BE9" w:rsidRPr="00635BE9" w:rsidTr="009455EF">
        <w:tc>
          <w:tcPr>
            <w:tcW w:w="3596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Чл. 56з, ал. 3 от ППЗСПЗЗ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 xml:space="preserve">Предложение от директора на областната дирекция "Земеделие" </w:t>
            </w:r>
          </w:p>
        </w:tc>
        <w:tc>
          <w:tcPr>
            <w:tcW w:w="3597" w:type="dxa"/>
            <w:vAlign w:val="bottom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Имоти по чл. 27, ал. 8 от ЗСПЗЗ се предлагат на търг, ако отговарят на изискванията на чл. 56е от ППЗСПЗЗ и при наличие на осигурен транспортен достъп до тях, свързан с транспортната мрежа. Имоти по § 8 от ПЗР към ЗИД на ЗСПЗЗ се предлагат на търг, ако отговарят на изискванията на чл. 116 от ППЗСПЗЗ.</w:t>
            </w:r>
          </w:p>
        </w:tc>
      </w:tr>
      <w:tr w:rsidR="00635BE9" w:rsidRPr="00635BE9" w:rsidTr="009455EF">
        <w:tc>
          <w:tcPr>
            <w:tcW w:w="3596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Чл. 56з, ал. 6, т. 1 от ППЗСПЗЗ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Мотивирано становище от директора на областната дирекция "Земеделие"</w:t>
            </w:r>
          </w:p>
        </w:tc>
        <w:tc>
          <w:tcPr>
            <w:tcW w:w="3597" w:type="dxa"/>
            <w:vAlign w:val="bottom"/>
          </w:tcPr>
          <w:p w:rsidR="00635BE9" w:rsidRPr="00635BE9" w:rsidRDefault="00635BE9" w:rsidP="006E5E87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В становището изрично се посочват имотите, предложени за първи търг на основание чл. 27, ал. 8, изречение второ от ЗСПЗЗ и имотите, за които могат да участват всички заинтересовани лица. Имоти по § 8 от ПЗР към ЗИД на ЗСПЗЗ се предлагат само на търгове, в които право на участие имат всички заинтересовани лица, съгласно чл. 118, ал. 1 от ППЗСПЗЗ.</w:t>
            </w:r>
          </w:p>
        </w:tc>
      </w:tr>
      <w:tr w:rsidR="00635BE9" w:rsidRPr="00635BE9" w:rsidTr="009455EF">
        <w:tc>
          <w:tcPr>
            <w:tcW w:w="3596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Чл. 56з, ал. 6, т. 2 от ППЗСПЗЗ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 xml:space="preserve">Акт за държавна собственост (АДС) </w:t>
            </w:r>
          </w:p>
        </w:tc>
        <w:tc>
          <w:tcPr>
            <w:tcW w:w="3597" w:type="dxa"/>
            <w:vAlign w:val="bottom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АДС следва да е съставен на основание чл. 45, ал. 10 от ППЗСПЗЗ, с вярно отразена площ на имота по актуална скица и НТП: "Стопански двор".</w:t>
            </w:r>
          </w:p>
        </w:tc>
      </w:tr>
      <w:tr w:rsidR="00635BE9" w:rsidRPr="00635BE9" w:rsidTr="007E7D85">
        <w:tc>
          <w:tcPr>
            <w:tcW w:w="3596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Чл. 56з, ал. 6, т. 3 от ППЗСПЗЗ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Скица на имота от КВС или КККР и регистър на собствениците на съседните имоти, посочени в скицата</w:t>
            </w:r>
          </w:p>
        </w:tc>
        <w:tc>
          <w:tcPr>
            <w:tcW w:w="3597" w:type="dxa"/>
            <w:vAlign w:val="center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В скицата следва да са отразени НТП: "Стопански дво</w:t>
            </w:r>
            <w:r w:rsidR="00D6281A">
              <w:rPr>
                <w:rFonts w:ascii="Verdana" w:hAnsi="Verdana"/>
                <w:sz w:val="20"/>
                <w:szCs w:val="20"/>
                <w:lang w:val="bg-BG"/>
              </w:rPr>
              <w:t xml:space="preserve">р"  и документ за собственост – </w:t>
            </w: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съставения за имота АДС. Прилага се извадка от Кадастралния регистър на недвижимите имоти за установяване на съседите на предложения за търг имот (общ търг/първи търг за съседи) при одобрена КККР или регистър на собствениците на съседните имоти по скица за землища с КВС. Прилага се удостоверение за идентичност между парцела по парцеларен план и предложения за търг имот.</w:t>
            </w:r>
          </w:p>
        </w:tc>
      </w:tr>
      <w:tr w:rsidR="00635BE9" w:rsidRPr="00635BE9" w:rsidTr="007E7D85">
        <w:tc>
          <w:tcPr>
            <w:tcW w:w="3596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Чл. 56з, ал. 6, т. 4 от ППЗСПЗЗ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Актуална данъчна оценка, определена по реда на чл. 56ж, ал. 2 от ППЗСПЗЗ</w:t>
            </w:r>
          </w:p>
        </w:tc>
        <w:tc>
          <w:tcPr>
            <w:tcW w:w="3597" w:type="dxa"/>
            <w:vAlign w:val="bottom"/>
          </w:tcPr>
          <w:p w:rsidR="00635BE9" w:rsidRDefault="00635BE9" w:rsidP="00615E9B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Данъчната оценка следва да е определена  като за земи в строителните граници и това обстоятелство се посочва изрично в удостоверението за данъчна оценка.</w:t>
            </w:r>
            <w:r w:rsidR="00875D21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</w:p>
          <w:p w:rsidR="00615E9B" w:rsidRPr="00615E9B" w:rsidRDefault="00615E9B" w:rsidP="00615E9B">
            <w:pPr>
              <w:spacing w:line="360" w:lineRule="auto"/>
              <w:jc w:val="both"/>
              <w:rPr>
                <w:rFonts w:ascii="Verdana" w:hAnsi="Verdana"/>
                <w:color w:val="FF0000"/>
                <w:sz w:val="20"/>
                <w:szCs w:val="20"/>
              </w:rPr>
            </w:pP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Прилага се актуална данъчна оценка, която е валидна към датата на постъпване на преписката в министерството. Следва да се има предвид, че съгласно ЗМДТ данъчна оценка, издадена до 30.06 на текущата година</w:t>
            </w:r>
            <w:r w:rsidR="00D91821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,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е валидна до тази дата. 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lastRenderedPageBreak/>
              <w:t>Единствено,</w:t>
            </w:r>
            <w:r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когато задълженията са платени и това изрично е записано в данъчната оценка, тя е валидна до края на календарната година. Данъчна оценка, издадена след 30.06</w:t>
            </w:r>
            <w:r w:rsidR="00D91821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,</w:t>
            </w:r>
            <w:r w:rsidRPr="00A50F0F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е валидна до края на календарната година.</w:t>
            </w:r>
          </w:p>
        </w:tc>
      </w:tr>
      <w:tr w:rsidR="00635BE9" w:rsidRPr="00635BE9" w:rsidTr="00ED01A4">
        <w:tc>
          <w:tcPr>
            <w:tcW w:w="3596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Чл. 56з, ал. 6, т. 5 от ППЗСПЗЗ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Пазарна оценка на имота, определена по реда на чл. 56ж, ал. 2 от ППЗСПЗЗ</w:t>
            </w:r>
          </w:p>
        </w:tc>
        <w:tc>
          <w:tcPr>
            <w:tcW w:w="3597" w:type="dxa"/>
            <w:vAlign w:val="bottom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 xml:space="preserve">Пазарната оценка се изготвя от независим оценител на недвижими имоти, възложена и приета от директора на областната дирекция "Земеделие", за определяне на началната тръжна цена, като се приема срок на валидност не повече от 6 месеца. При приемане на оценката от директора на областната дирекция "Земеделие" е необходимо да се извърши проверка в общодостъпни сайтове за обявени пазарни цени на сходни имоти в същото землище, а при липса - в съседни землища или общини, както и за наличие на допуснати технически и изчислителни грешки. Началната тръжна цена не </w:t>
            </w: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може да бъде по-ниска от данъчната оценка на имота, увеличена с 10 на сто.</w:t>
            </w:r>
          </w:p>
        </w:tc>
      </w:tr>
      <w:tr w:rsidR="00635BE9" w:rsidRPr="00635BE9" w:rsidTr="00ED01A4">
        <w:tc>
          <w:tcPr>
            <w:tcW w:w="3596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Чл. 56з, ал. 6, т. 6 от ППЗСПЗЗ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Скица и/или извадка от приет парцеларен план или от план на новообразувани имоти по чл. 45, ал. 3 от ППЗСПЗЗ и заповед за одобряване по чл. 45, ал. 6 от ППЗСПЗЗ</w:t>
            </w:r>
          </w:p>
        </w:tc>
        <w:tc>
          <w:tcPr>
            <w:tcW w:w="3597" w:type="dxa"/>
            <w:vAlign w:val="bottom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 xml:space="preserve">Прилагат се протоколи за приемане на планове за териториите, застроени със сгради и съоръжения от имуществото на организациите по § 12 от ПЗР на ЗСПЗЗ, изработени по реда на чл. 45, ал. 3 от ППЗСПЗЗ и заповед за одобряване по чл. 45, ал. 6 от ППЗСПЗЗ за планове, </w:t>
            </w:r>
            <w:r w:rsidR="006054C0" w:rsidRPr="00D358EC">
              <w:rPr>
                <w:rFonts w:ascii="Verdana" w:hAnsi="Verdana"/>
                <w:sz w:val="20"/>
                <w:szCs w:val="20"/>
                <w:lang w:val="bg-BG"/>
              </w:rPr>
              <w:t xml:space="preserve">изработени след 04.04.2003 г., както и данни, че същата е влязла в законна сила.  </w:t>
            </w: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 xml:space="preserve"> Извадката от графичната част на плановете следва да е в подходящ обхват. Извадка от плана за възстановяване в стари/нови реални граници в обхвата на имота и регистъра към него, в случаите на изработен нов план на новообразуваните имоти при липса на стар парцеларен план.</w:t>
            </w:r>
          </w:p>
        </w:tc>
      </w:tr>
      <w:tr w:rsidR="00635BE9" w:rsidRPr="00635BE9" w:rsidTr="00ED01A4">
        <w:tc>
          <w:tcPr>
            <w:tcW w:w="3596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Чл. 56з, ал. 6, т. 7 от ППЗСПЗЗ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Извадка от регулационен план и заповед за одобряването му</w:t>
            </w:r>
          </w:p>
        </w:tc>
        <w:tc>
          <w:tcPr>
            <w:tcW w:w="3597" w:type="dxa"/>
            <w:vAlign w:val="bottom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 xml:space="preserve">За имоти в урбанизираните територии се прилага извадка от действащ регулационен план и заповед за одобряването му, </w:t>
            </w: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влязла в законна сила, както и цветна скица на имота, издадена от техническа служба на съответната община.</w:t>
            </w:r>
          </w:p>
        </w:tc>
      </w:tr>
      <w:tr w:rsidR="00635BE9" w:rsidRPr="00635BE9" w:rsidTr="001B28A7">
        <w:tc>
          <w:tcPr>
            <w:tcW w:w="3596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Чл. 56з, ал. 6, т. 8 от ППЗСПЗЗ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Удостоверение, че имотът не попада в границите на защитена територия, обявена по реда на Закона за защитените територии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Приема се срок на валидност не повече от 6 месеца</w:t>
            </w:r>
            <w:r w:rsidR="00D91821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635BE9" w:rsidRPr="00635BE9" w:rsidTr="001B28A7">
        <w:tc>
          <w:tcPr>
            <w:tcW w:w="3596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Чл. 56з, ал. 6, т. 9 от ППЗСПЗЗ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Констативен протокол за оглед на място на имота, отразяващ актуалното му състояние, съставен от комисия, назначена от директора на областната дирекция "Земеделие".  За имоти в границите на урбанизираните територии в състава на комисията задължително се включва и представител на съответната община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Приема се срок на валидност не повече от 6 месеца</w:t>
            </w:r>
            <w:r w:rsidR="00D91821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635BE9" w:rsidRPr="00635BE9" w:rsidTr="00B1463E">
        <w:tc>
          <w:tcPr>
            <w:tcW w:w="3596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Чл. 56з, ал. 6, т. 10 от ППЗСПЗЗ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Цветна комбинирана извадка от цифровата ортофотокарта и КВС/КККР на съответното землище за територията, в която попада имота</w:t>
            </w:r>
          </w:p>
        </w:tc>
        <w:tc>
          <w:tcPr>
            <w:tcW w:w="3597" w:type="dxa"/>
            <w:vAlign w:val="bottom"/>
          </w:tcPr>
          <w:p w:rsidR="00635BE9" w:rsidRPr="00635BE9" w:rsidRDefault="00635BE9" w:rsidP="00D91821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 </w:t>
            </w:r>
            <w:r w:rsidR="00D91821">
              <w:rPr>
                <w:rFonts w:ascii="Verdana" w:hAnsi="Verdana"/>
                <w:sz w:val="20"/>
                <w:szCs w:val="20"/>
                <w:lang w:val="bg-BG"/>
              </w:rPr>
              <w:t xml:space="preserve">Представя се служебно от </w:t>
            </w:r>
            <w:r w:rsidR="00D91821" w:rsidRPr="005E41D2">
              <w:rPr>
                <w:rFonts w:ascii="Verdana" w:hAnsi="Verdana"/>
                <w:sz w:val="20"/>
                <w:szCs w:val="20"/>
                <w:lang w:val="bg-BG"/>
              </w:rPr>
              <w:t>директора на областната дирекция "Земеделие"</w:t>
            </w:r>
            <w:r w:rsidR="00D91821">
              <w:rPr>
                <w:rFonts w:ascii="Verdana" w:hAnsi="Verdana"/>
                <w:sz w:val="20"/>
                <w:szCs w:val="20"/>
                <w:lang w:val="bg-BG"/>
              </w:rPr>
              <w:t>.</w:t>
            </w:r>
          </w:p>
        </w:tc>
      </w:tr>
      <w:tr w:rsidR="00635BE9" w:rsidRPr="00635BE9" w:rsidTr="00B1463E">
        <w:tc>
          <w:tcPr>
            <w:tcW w:w="3596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Чл. 56з, ал. 6, т. 11 от ППЗСПЗЗ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 xml:space="preserve">Удостоверение за липса на реституционни претенции, издадено от общинската служба по земеделие, със срок на валидност не по-дълъг от 6 </w:t>
            </w: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>месеца от датата на издаването му</w:t>
            </w:r>
          </w:p>
        </w:tc>
        <w:tc>
          <w:tcPr>
            <w:tcW w:w="3597" w:type="dxa"/>
            <w:vAlign w:val="bottom"/>
          </w:tcPr>
          <w:p w:rsidR="00635BE9" w:rsidRPr="00635BE9" w:rsidRDefault="00901862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lastRenderedPageBreak/>
              <w:t xml:space="preserve">Издава се служебно от съответната </w:t>
            </w:r>
            <w:r w:rsidRPr="005E41D2">
              <w:rPr>
                <w:rFonts w:ascii="Verdana" w:hAnsi="Verdana"/>
                <w:sz w:val="20"/>
                <w:szCs w:val="20"/>
                <w:lang w:val="bg-BG"/>
              </w:rPr>
              <w:t>общинска служба по земеделие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по местонахождение на държавния имот.</w:t>
            </w:r>
          </w:p>
        </w:tc>
      </w:tr>
      <w:tr w:rsidR="00635BE9" w:rsidRPr="00635BE9" w:rsidTr="00635BE9">
        <w:trPr>
          <w:trHeight w:val="1330"/>
        </w:trPr>
        <w:tc>
          <w:tcPr>
            <w:tcW w:w="3596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Чл. 56з, ал. 6, т. 12 от ППЗСПЗЗ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Други документи, необходими за изразяване на съгласие на мин</w:t>
            </w:r>
            <w:r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истъра на земеделието и храните</w:t>
            </w:r>
          </w:p>
        </w:tc>
        <w:tc>
          <w:tcPr>
            <w:tcW w:w="3597" w:type="dxa"/>
            <w:vAlign w:val="bottom"/>
          </w:tcPr>
          <w:p w:rsidR="00635BE9" w:rsidRPr="00635BE9" w:rsidRDefault="0029324B" w:rsidP="00117BC3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590C7B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Документи, свързани с конкретната преписка, доказващи, че предложените за включване в тръжна процедура имоти попадат в територия, </w:t>
            </w:r>
            <w:r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в </w:t>
            </w:r>
            <w:r w:rsidRPr="00590C7B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която </w:t>
            </w:r>
            <w:r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са</w:t>
            </w:r>
            <w:r w:rsidRPr="00590C7B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бил</w:t>
            </w:r>
            <w:r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и</w:t>
            </w:r>
            <w:r w:rsidRPr="00590C7B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>разположени</w:t>
            </w:r>
            <w:r w:rsidRPr="00590C7B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сгради и съоръжения от имуществото на прекратените организации по § 12 от ПЗР на ЗСПЗЗ, като например съдебни решения или </w:t>
            </w:r>
            <w:r w:rsidRPr="00590C7B">
              <w:rPr>
                <w:rFonts w:ascii="Verdana" w:hAnsi="Verdana"/>
                <w:sz w:val="20"/>
                <w:szCs w:val="20"/>
              </w:rPr>
              <w:t>ревизионни актове и актове за начет</w:t>
            </w:r>
            <w:r w:rsidRPr="00590C7B">
              <w:rPr>
                <w:rFonts w:ascii="Verdana" w:hAnsi="Verdana"/>
                <w:sz w:val="20"/>
                <w:szCs w:val="20"/>
                <w:lang w:val="bg-BG"/>
              </w:rPr>
              <w:t>, съставени от Министерство на финансите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,</w:t>
            </w:r>
            <w:r w:rsidRPr="00590C7B">
              <w:rPr>
                <w:rFonts w:ascii="Verdana" w:hAnsi="Verdana"/>
                <w:sz w:val="20"/>
                <w:szCs w:val="20"/>
                <w:lang w:val="bg-BG"/>
              </w:rPr>
              <w:t xml:space="preserve"> на основание § 13, ал. 9 от ПЗР на ЗСПЗЗ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,</w:t>
            </w:r>
            <w:r w:rsidRPr="00590C7B">
              <w:rPr>
                <w:rFonts w:ascii="Verdana" w:hAnsi="Verdana"/>
                <w:sz w:val="20"/>
                <w:szCs w:val="20"/>
                <w:lang w:val="bg-BG"/>
              </w:rPr>
              <w:t xml:space="preserve"> при осъществяване на финансов к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онтрол на организациите по § 12</w:t>
            </w:r>
            <w:r w:rsidRPr="00590C7B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590C7B">
              <w:rPr>
                <w:rFonts w:ascii="Verdana" w:hAnsi="Verdana" w:cs="Arial"/>
                <w:color w:val="000000"/>
                <w:sz w:val="20"/>
                <w:szCs w:val="20"/>
                <w:lang w:val="bg-BG"/>
              </w:rPr>
              <w:t xml:space="preserve"> и други.</w:t>
            </w:r>
          </w:p>
        </w:tc>
      </w:tr>
      <w:tr w:rsidR="00635BE9" w:rsidRPr="00635BE9" w:rsidTr="00B1463E">
        <w:tc>
          <w:tcPr>
            <w:tcW w:w="3596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eastAsia="Times New Roman" w:hAnsi="Verdana"/>
                <w:sz w:val="20"/>
                <w:szCs w:val="20"/>
                <w:lang w:val="bg-BG" w:eastAsia="bg-BG"/>
              </w:rPr>
            </w:pPr>
            <w:r w:rsidRPr="00635BE9">
              <w:rPr>
                <w:rFonts w:ascii="Verdana" w:hAnsi="Verdana"/>
                <w:sz w:val="20"/>
                <w:szCs w:val="20"/>
                <w:lang w:val="bg-BG"/>
              </w:rPr>
              <w:t>За имоти по § 8 от ПЗР към ЗИД на ЗСПЗЗ (обн., ДВ, бр. 61/2016 г.)</w:t>
            </w:r>
          </w:p>
        </w:tc>
        <w:tc>
          <w:tcPr>
            <w:tcW w:w="3597" w:type="dxa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color w:val="000000"/>
                <w:sz w:val="20"/>
                <w:szCs w:val="20"/>
                <w:lang w:val="bg-BG"/>
              </w:rPr>
            </w:pPr>
            <w:r w:rsidRPr="00635BE9">
              <w:rPr>
                <w:rFonts w:ascii="Verdana" w:hAnsi="Verdana"/>
                <w:color w:val="000000"/>
                <w:sz w:val="20"/>
                <w:szCs w:val="20"/>
                <w:lang w:val="bg-BG"/>
              </w:rPr>
              <w:t>Констативен протокол по образец, утвърден от министъра, от извършена теренна проверка относно застрояването в имотите, изготвен от комисия, назначена от директора на областната дирекция "Земеделие"</w:t>
            </w:r>
          </w:p>
        </w:tc>
        <w:tc>
          <w:tcPr>
            <w:tcW w:w="3597" w:type="dxa"/>
            <w:vAlign w:val="bottom"/>
          </w:tcPr>
          <w:p w:rsidR="00635BE9" w:rsidRPr="00635BE9" w:rsidRDefault="00635BE9" w:rsidP="00635BE9">
            <w:pPr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bg-BG"/>
              </w:rPr>
            </w:pPr>
            <w:r w:rsidRPr="00E57521">
              <w:rPr>
                <w:rFonts w:ascii="Verdana" w:hAnsi="Verdana"/>
                <w:sz w:val="20"/>
                <w:szCs w:val="20"/>
                <w:lang w:val="bg-BG"/>
              </w:rPr>
              <w:t>Прилага се Констативен протокол по чл. 117, ал. 2 от ППЗСПЗЗ за извършена теренна проверка относно застрояването в имотите по § 8 от ПЗР към ЗИД на ЗСПЗЗ, одобрен със Заповед № РД 46-266/29.09.2020 г. на министъра на земеделието, храните и горите.</w:t>
            </w:r>
          </w:p>
        </w:tc>
      </w:tr>
      <w:bookmarkEnd w:id="0"/>
    </w:tbl>
    <w:p w:rsidR="00E80B4A" w:rsidRPr="00635BE9" w:rsidRDefault="00E80B4A" w:rsidP="00635BE9">
      <w:pPr>
        <w:spacing w:line="360" w:lineRule="auto"/>
        <w:jc w:val="both"/>
        <w:rPr>
          <w:rFonts w:ascii="Verdana" w:hAnsi="Verdana"/>
          <w:sz w:val="20"/>
          <w:szCs w:val="20"/>
          <w:lang w:val="bg-BG"/>
        </w:rPr>
      </w:pPr>
    </w:p>
    <w:sectPr w:rsidR="00E80B4A" w:rsidRPr="00635BE9" w:rsidSect="00D7519A"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134" w:right="720" w:bottom="851" w:left="720" w:header="576" w:footer="576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0C8" w:rsidRDefault="00BD30C8" w:rsidP="00582382">
      <w:r>
        <w:separator/>
      </w:r>
    </w:p>
  </w:endnote>
  <w:endnote w:type="continuationSeparator" w:id="0">
    <w:p w:rsidR="00BD30C8" w:rsidRDefault="00BD30C8" w:rsidP="00582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BE8" w:rsidRDefault="005A1BE8" w:rsidP="00C506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A1BE8" w:rsidRDefault="005A1BE8" w:rsidP="00C506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BE8" w:rsidRPr="00725516" w:rsidRDefault="005A1BE8" w:rsidP="00C5060B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10"/>
      <w:gridCol w:w="2310"/>
      <w:gridCol w:w="2310"/>
      <w:gridCol w:w="2250"/>
    </w:tblGrid>
    <w:tr w:rsidR="005A1BE8" w:rsidRPr="0091612D">
      <w:trPr>
        <w:cantSplit/>
        <w:trHeight w:val="630"/>
      </w:trPr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 w:val="restart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250" w:type="dxa"/>
        </w:tcPr>
        <w:p w:rsidR="005A1BE8" w:rsidRPr="0091612D" w:rsidRDefault="005A1BE8" w:rsidP="00C5060B">
          <w:pPr>
            <w:pStyle w:val="Footer"/>
            <w:jc w:val="center"/>
            <w:rPr>
              <w:rFonts w:ascii="Arial" w:hAnsi="Arial"/>
              <w:color w:val="FF0000"/>
              <w:sz w:val="18"/>
              <w:szCs w:val="18"/>
              <w:lang w:val="bg-BG"/>
            </w:rPr>
          </w:pPr>
        </w:p>
      </w:tc>
    </w:tr>
    <w:tr w:rsidR="005A1BE8" w:rsidRPr="005B2435">
      <w:trPr>
        <w:cantSplit/>
        <w:trHeight w:val="330"/>
      </w:trPr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310" w:type="dxa"/>
          <w:vMerge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  <w:tc>
        <w:tcPr>
          <w:tcW w:w="2250" w:type="dxa"/>
        </w:tcPr>
        <w:p w:rsidR="005A1BE8" w:rsidRPr="0091612D" w:rsidRDefault="005A1BE8" w:rsidP="00C5060B">
          <w:pPr>
            <w:pStyle w:val="Footer"/>
            <w:rPr>
              <w:rFonts w:ascii="Arial" w:hAnsi="Arial"/>
              <w:sz w:val="18"/>
              <w:szCs w:val="18"/>
              <w:lang w:val="bg-BG"/>
            </w:rPr>
          </w:pPr>
        </w:p>
      </w:tc>
    </w:tr>
  </w:tbl>
  <w:p w:rsidR="005A1BE8" w:rsidRPr="005B2435" w:rsidRDefault="005A1BE8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0C8" w:rsidRDefault="00BD30C8" w:rsidP="00582382">
      <w:r>
        <w:separator/>
      </w:r>
    </w:p>
  </w:footnote>
  <w:footnote w:type="continuationSeparator" w:id="0">
    <w:p w:rsidR="00BD30C8" w:rsidRDefault="00BD30C8" w:rsidP="00582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340"/>
      <w:gridCol w:w="6107"/>
      <w:gridCol w:w="2018"/>
    </w:tblGrid>
    <w:tr w:rsidR="005A1BE8" w:rsidRPr="00DC6334" w:rsidTr="00E80B4A">
      <w:trPr>
        <w:cantSplit/>
        <w:trHeight w:val="1405"/>
        <w:jc w:val="center"/>
      </w:trPr>
      <w:tc>
        <w:tcPr>
          <w:tcW w:w="2340" w:type="dxa"/>
          <w:vMerge w:val="restart"/>
        </w:tcPr>
        <w:p w:rsidR="005A1BE8" w:rsidRPr="0039667D" w:rsidRDefault="005A1BE8" w:rsidP="00C5060B">
          <w:pPr>
            <w:pStyle w:val="Heading4"/>
            <w:spacing w:line="360" w:lineRule="auto"/>
            <w:rPr>
              <w:rFonts w:ascii="Verdana" w:hAnsi="Verdana"/>
              <w:i/>
              <w:color w:val="auto"/>
              <w:sz w:val="16"/>
              <w:szCs w:val="16"/>
              <w:lang w:val="en-US"/>
            </w:rPr>
          </w:pPr>
        </w:p>
        <w:p w:rsidR="005A1BE8" w:rsidRPr="0039667D" w:rsidRDefault="005A1BE8" w:rsidP="00C5060B">
          <w:pPr>
            <w:spacing w:line="360" w:lineRule="auto"/>
            <w:rPr>
              <w:rFonts w:ascii="Verdana" w:hAnsi="Verdana"/>
              <w:sz w:val="16"/>
              <w:szCs w:val="16"/>
              <w:lang w:val="en-US"/>
            </w:rPr>
          </w:pPr>
          <w:r w:rsidRPr="0039667D">
            <w:rPr>
              <w:rFonts w:ascii="Verdana" w:hAnsi="Verdana"/>
              <w:b/>
              <w:noProof/>
              <w:sz w:val="16"/>
              <w:szCs w:val="16"/>
              <w:lang w:val="bg-BG" w:eastAsia="bg-BG"/>
            </w:rPr>
            <w:drawing>
              <wp:inline distT="0" distB="0" distL="0" distR="0" wp14:anchorId="3A69F9B4" wp14:editId="0E9D5186">
                <wp:extent cx="1257300" cy="695325"/>
                <wp:effectExtent l="0" t="0" r="0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A1BE8" w:rsidRPr="00BE7759" w:rsidRDefault="005A1BE8" w:rsidP="00BE7759">
          <w:pPr>
            <w:pStyle w:val="Heading1"/>
            <w:tabs>
              <w:tab w:val="left" w:pos="1276"/>
            </w:tabs>
            <w:spacing w:line="360" w:lineRule="auto"/>
            <w:jc w:val="center"/>
            <w:rPr>
              <w:rFonts w:ascii="Verdana" w:hAnsi="Verdana"/>
              <w:sz w:val="16"/>
              <w:szCs w:val="16"/>
            </w:rPr>
          </w:pPr>
          <w:r w:rsidRPr="00BE7759">
            <w:rPr>
              <w:rFonts w:ascii="Verdana" w:hAnsi="Verdana"/>
              <w:b/>
              <w:sz w:val="16"/>
              <w:szCs w:val="16"/>
            </w:rPr>
            <w:t>Министерство на земеделието</w:t>
          </w:r>
          <w:r w:rsidR="00EB01BC">
            <w:rPr>
              <w:rFonts w:ascii="Verdana" w:hAnsi="Verdana"/>
              <w:b/>
              <w:sz w:val="16"/>
              <w:szCs w:val="16"/>
            </w:rPr>
            <w:t xml:space="preserve"> и храните</w:t>
          </w:r>
        </w:p>
      </w:tc>
      <w:tc>
        <w:tcPr>
          <w:tcW w:w="6107" w:type="dxa"/>
          <w:vAlign w:val="center"/>
        </w:tcPr>
        <w:p w:rsidR="005A1BE8" w:rsidRPr="00AB0336" w:rsidRDefault="00E80B4A" w:rsidP="00875D21">
          <w:pPr>
            <w:jc w:val="both"/>
            <w:rPr>
              <w:rFonts w:ascii="Verdana" w:hAnsi="Verdana"/>
              <w:b/>
              <w:sz w:val="16"/>
              <w:szCs w:val="16"/>
              <w:lang w:val="bg-BG"/>
            </w:rPr>
          </w:pPr>
          <w:r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Указания за комплектуване на преписки по реда на чл. 27, ал. </w:t>
          </w:r>
          <w:r w:rsidR="0026642B">
            <w:rPr>
              <w:rFonts w:ascii="Verdana" w:eastAsia="Times New Roman" w:hAnsi="Verdana"/>
              <w:b/>
              <w:sz w:val="20"/>
              <w:szCs w:val="20"/>
              <w:lang w:val="bg-BG"/>
            </w:rPr>
            <w:t>8</w:t>
          </w:r>
          <w:r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 от ЗСПЗЗ, в съответствие с разпоредбите на Глава четвърта „а“, Раздел </w:t>
          </w:r>
          <w:r w:rsidR="0026642B">
            <w:rPr>
              <w:rFonts w:ascii="Verdana" w:eastAsia="Times New Roman" w:hAnsi="Verdana"/>
              <w:b/>
              <w:sz w:val="20"/>
              <w:szCs w:val="20"/>
              <w:lang w:val="en-US"/>
            </w:rPr>
            <w:t>I</w:t>
          </w:r>
          <w:r w:rsidRPr="00E80B4A">
            <w:rPr>
              <w:rFonts w:ascii="Verdana" w:eastAsia="Times New Roman" w:hAnsi="Verdana"/>
              <w:b/>
              <w:sz w:val="20"/>
              <w:szCs w:val="20"/>
            </w:rPr>
            <w:t>I</w:t>
          </w:r>
          <w:r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 „Разпореждане със земи по реда на чл. 27, ал. </w:t>
          </w:r>
          <w:r w:rsidR="0026642B">
            <w:rPr>
              <w:rFonts w:ascii="Verdana" w:eastAsia="Times New Roman" w:hAnsi="Verdana"/>
              <w:b/>
              <w:sz w:val="20"/>
              <w:szCs w:val="20"/>
              <w:lang w:val="en-US"/>
            </w:rPr>
            <w:t>8</w:t>
          </w:r>
          <w:r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 от ЗСПЗЗ“</w:t>
          </w:r>
          <w:r w:rsidR="0013062E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 и Глава тринадесета „Р</w:t>
          </w:r>
          <w:r w:rsidR="0013062E" w:rsidRPr="005E41D2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азпореждане със земи по § 8 от преходните и заключителните разпоредби на </w:t>
          </w:r>
          <w:r w:rsidR="00875D21" w:rsidRPr="00D6281A">
            <w:rPr>
              <w:rFonts w:ascii="Verdana" w:eastAsia="Times New Roman" w:hAnsi="Verdana"/>
              <w:b/>
              <w:sz w:val="20"/>
              <w:szCs w:val="20"/>
              <w:lang w:val="bg-BG"/>
            </w:rPr>
            <w:t>З</w:t>
          </w:r>
          <w:r w:rsidR="0013062E" w:rsidRPr="005E41D2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акона за изменение и допълнение на </w:t>
          </w:r>
          <w:r w:rsidR="0013062E">
            <w:rPr>
              <w:rFonts w:ascii="Verdana" w:eastAsia="Times New Roman" w:hAnsi="Verdana"/>
              <w:b/>
              <w:sz w:val="20"/>
              <w:szCs w:val="20"/>
              <w:lang w:val="bg-BG"/>
            </w:rPr>
            <w:t>ЗСПЗЗ“</w:t>
          </w:r>
          <w:r w:rsidR="0013062E"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 xml:space="preserve"> </w:t>
          </w:r>
          <w:r w:rsidRPr="00E80B4A">
            <w:rPr>
              <w:rFonts w:ascii="Verdana" w:eastAsia="Times New Roman" w:hAnsi="Verdana"/>
              <w:b/>
              <w:sz w:val="20"/>
              <w:szCs w:val="20"/>
              <w:lang w:val="bg-BG"/>
            </w:rPr>
            <w:t>от ППЗСПЗЗ</w:t>
          </w:r>
        </w:p>
      </w:tc>
      <w:tc>
        <w:tcPr>
          <w:tcW w:w="2018" w:type="dxa"/>
          <w:vMerge w:val="restart"/>
        </w:tcPr>
        <w:p w:rsidR="005A1BE8" w:rsidRPr="0039667D" w:rsidRDefault="005A1BE8" w:rsidP="00C5060B">
          <w:pPr>
            <w:pStyle w:val="Header"/>
            <w:spacing w:line="360" w:lineRule="auto"/>
            <w:rPr>
              <w:rFonts w:ascii="Verdana" w:hAnsi="Verdana"/>
              <w:sz w:val="16"/>
              <w:szCs w:val="16"/>
              <w:lang w:val="bg-BG"/>
            </w:rPr>
          </w:pPr>
        </w:p>
        <w:p w:rsidR="005A1BE8" w:rsidRDefault="005A1BE8" w:rsidP="00C5060B">
          <w:pPr>
            <w:pStyle w:val="Header"/>
            <w:spacing w:line="360" w:lineRule="auto"/>
            <w:jc w:val="both"/>
            <w:rPr>
              <w:rStyle w:val="PageNumber"/>
              <w:rFonts w:ascii="Verdana" w:hAnsi="Verdana"/>
              <w:sz w:val="16"/>
              <w:szCs w:val="16"/>
              <w:lang w:val="bg-BG"/>
            </w:rPr>
          </w:pPr>
          <w:r w:rsidRPr="0039667D">
            <w:rPr>
              <w:rFonts w:ascii="Verdana" w:hAnsi="Verdana"/>
              <w:sz w:val="16"/>
              <w:szCs w:val="16"/>
              <w:lang w:val="bg-BG"/>
            </w:rPr>
            <w:t xml:space="preserve">Страница: </w: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begin"/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ru-RU"/>
            </w:rPr>
            <w:instrText xml:space="preserve"> </w:instrTex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instrText>PAGE</w:instrText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ru-RU"/>
            </w:rPr>
            <w:instrText xml:space="preserve"> </w:instrTex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separate"/>
          </w:r>
          <w:r w:rsidR="00207677">
            <w:rPr>
              <w:rStyle w:val="PageNumber"/>
              <w:rFonts w:ascii="Verdana" w:hAnsi="Verdana"/>
              <w:noProof/>
              <w:sz w:val="16"/>
              <w:szCs w:val="16"/>
            </w:rPr>
            <w:t>1</w:t>
          </w:r>
          <w:r w:rsidRPr="0039667D">
            <w:rPr>
              <w:rStyle w:val="PageNumber"/>
              <w:rFonts w:ascii="Verdana" w:hAnsi="Verdana"/>
              <w:sz w:val="16"/>
              <w:szCs w:val="16"/>
            </w:rPr>
            <w:fldChar w:fldCharType="end"/>
          </w:r>
          <w:r w:rsidRPr="0039667D">
            <w:rPr>
              <w:rStyle w:val="PageNumber"/>
              <w:rFonts w:ascii="Verdana" w:hAnsi="Verdana"/>
              <w:sz w:val="16"/>
              <w:szCs w:val="16"/>
              <w:lang w:val="bg-BG"/>
            </w:rPr>
            <w:t xml:space="preserve"> от </w:t>
          </w:r>
          <w:r w:rsidR="00675E55">
            <w:rPr>
              <w:rStyle w:val="PageNumber"/>
              <w:rFonts w:ascii="Verdana" w:hAnsi="Verdana"/>
              <w:sz w:val="16"/>
              <w:szCs w:val="16"/>
              <w:lang w:val="bg-BG"/>
            </w:rPr>
            <w:t>6</w:t>
          </w:r>
        </w:p>
        <w:p w:rsidR="005A1BE8" w:rsidRPr="009758CC" w:rsidRDefault="005A1BE8" w:rsidP="00C5060B">
          <w:pPr>
            <w:pStyle w:val="Header"/>
            <w:spacing w:line="360" w:lineRule="auto"/>
            <w:jc w:val="both"/>
            <w:rPr>
              <w:rStyle w:val="PageNumber"/>
              <w:rFonts w:ascii="Verdana" w:hAnsi="Verdana"/>
              <w:sz w:val="16"/>
              <w:szCs w:val="16"/>
              <w:lang w:val="bg-BG"/>
            </w:rPr>
          </w:pPr>
        </w:p>
        <w:p w:rsidR="005A1BE8" w:rsidRPr="0039667D" w:rsidRDefault="005A1BE8" w:rsidP="00C5060B">
          <w:pPr>
            <w:pStyle w:val="Header"/>
            <w:spacing w:line="360" w:lineRule="auto"/>
            <w:jc w:val="both"/>
            <w:rPr>
              <w:rFonts w:ascii="Verdana" w:hAnsi="Verdana"/>
              <w:sz w:val="16"/>
              <w:szCs w:val="16"/>
              <w:lang w:val="bg-BG"/>
            </w:rPr>
          </w:pPr>
        </w:p>
      </w:tc>
    </w:tr>
    <w:tr w:rsidR="005A1BE8" w:rsidRPr="009344A2" w:rsidTr="00C5060B">
      <w:trPr>
        <w:cantSplit/>
        <w:trHeight w:val="634"/>
        <w:jc w:val="center"/>
      </w:trPr>
      <w:tc>
        <w:tcPr>
          <w:tcW w:w="2340" w:type="dxa"/>
          <w:vMerge/>
        </w:tcPr>
        <w:p w:rsidR="005A1BE8" w:rsidRPr="00DC6334" w:rsidRDefault="005A1BE8" w:rsidP="00C5060B">
          <w:pPr>
            <w:pStyle w:val="Heading4"/>
            <w:rPr>
              <w:i/>
              <w:color w:val="auto"/>
              <w:lang w:val="en-US"/>
            </w:rPr>
          </w:pPr>
        </w:p>
      </w:tc>
      <w:tc>
        <w:tcPr>
          <w:tcW w:w="6107" w:type="dxa"/>
          <w:vAlign w:val="center"/>
        </w:tcPr>
        <w:p w:rsidR="005A1BE8" w:rsidRPr="00A801C6" w:rsidRDefault="00207677" w:rsidP="00E80B4A">
          <w:pPr>
            <w:jc w:val="center"/>
            <w:rPr>
              <w:b/>
              <w:snapToGrid w:val="0"/>
              <w:lang w:val="bg-BG"/>
            </w:rPr>
          </w:pPr>
          <w:r>
            <w:rPr>
              <w:rFonts w:ascii="Verdana" w:hAnsi="Verdana"/>
              <w:b/>
              <w:bCs/>
              <w:sz w:val="16"/>
              <w:szCs w:val="16"/>
              <w:lang w:val="bg-BG"/>
            </w:rPr>
            <w:t>Утвърдени</w:t>
          </w:r>
          <w:r w:rsidR="004213CD">
            <w:rPr>
              <w:rFonts w:ascii="Verdana" w:hAnsi="Verdana"/>
              <w:b/>
              <w:bCs/>
              <w:sz w:val="16"/>
              <w:szCs w:val="16"/>
              <w:lang w:val="bg-BG"/>
            </w:rPr>
            <w:t xml:space="preserve"> със заповед № РД46-……/…...2023 г. на министъра на земеделието и храните</w:t>
          </w:r>
        </w:p>
      </w:tc>
      <w:tc>
        <w:tcPr>
          <w:tcW w:w="2018" w:type="dxa"/>
          <w:vMerge/>
        </w:tcPr>
        <w:p w:rsidR="005A1BE8" w:rsidRPr="00DC6334" w:rsidRDefault="005A1BE8" w:rsidP="00C5060B">
          <w:pPr>
            <w:pStyle w:val="Header"/>
            <w:rPr>
              <w:lang w:val="bg-BG"/>
            </w:rPr>
          </w:pPr>
        </w:p>
      </w:tc>
    </w:tr>
  </w:tbl>
  <w:p w:rsidR="005A1BE8" w:rsidRPr="00DC6334" w:rsidRDefault="005A1BE8" w:rsidP="00E80B4A">
    <w:pPr>
      <w:pStyle w:val="Header"/>
      <w:tabs>
        <w:tab w:val="clear" w:pos="9072"/>
        <w:tab w:val="left" w:pos="6315"/>
      </w:tabs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6134"/>
    <w:multiLevelType w:val="hybridMultilevel"/>
    <w:tmpl w:val="C71CF9BA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550057B"/>
    <w:multiLevelType w:val="hybridMultilevel"/>
    <w:tmpl w:val="A99C5002"/>
    <w:lvl w:ilvl="0" w:tplc="C14650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435D5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2AF6626"/>
    <w:multiLevelType w:val="hybridMultilevel"/>
    <w:tmpl w:val="18C6BFCC"/>
    <w:lvl w:ilvl="0" w:tplc="6E7038CE">
      <w:start w:val="3"/>
      <w:numFmt w:val="bullet"/>
      <w:lvlText w:val="-"/>
      <w:lvlJc w:val="left"/>
      <w:pPr>
        <w:ind w:left="1931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12E62605"/>
    <w:multiLevelType w:val="hybridMultilevel"/>
    <w:tmpl w:val="969ECE02"/>
    <w:lvl w:ilvl="0" w:tplc="6E7038CE">
      <w:start w:val="3"/>
      <w:numFmt w:val="bullet"/>
      <w:lvlText w:val="-"/>
      <w:lvlJc w:val="left"/>
      <w:pPr>
        <w:ind w:left="3011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69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411" w:hanging="360"/>
      </w:pPr>
      <w:rPr>
        <w:rFonts w:ascii="Wingdings" w:hAnsi="Wingdings" w:hint="default"/>
      </w:rPr>
    </w:lvl>
  </w:abstractNum>
  <w:abstractNum w:abstractNumId="5" w15:restartNumberingAfterBreak="0">
    <w:nsid w:val="205B78D1"/>
    <w:multiLevelType w:val="hybridMultilevel"/>
    <w:tmpl w:val="9CBA091A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2C05D1C"/>
    <w:multiLevelType w:val="hybridMultilevel"/>
    <w:tmpl w:val="B0E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F7319"/>
    <w:multiLevelType w:val="hybridMultilevel"/>
    <w:tmpl w:val="9F10923C"/>
    <w:lvl w:ilvl="0" w:tplc="6E7038CE">
      <w:start w:val="3"/>
      <w:numFmt w:val="bullet"/>
      <w:lvlText w:val="-"/>
      <w:lvlJc w:val="left"/>
      <w:pPr>
        <w:ind w:left="107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8" w15:restartNumberingAfterBreak="0">
    <w:nsid w:val="23581EEF"/>
    <w:multiLevelType w:val="hybridMultilevel"/>
    <w:tmpl w:val="155E32E4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6960C2D"/>
    <w:multiLevelType w:val="multilevel"/>
    <w:tmpl w:val="EC422AD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10" w15:restartNumberingAfterBreak="0">
    <w:nsid w:val="2A566494"/>
    <w:multiLevelType w:val="hybridMultilevel"/>
    <w:tmpl w:val="BF8E4E1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B5CE9A2">
      <w:numFmt w:val="bullet"/>
      <w:lvlText w:val="-"/>
      <w:lvlJc w:val="left"/>
      <w:pPr>
        <w:ind w:left="2966" w:hanging="1035"/>
      </w:pPr>
      <w:rPr>
        <w:rFonts w:ascii="Verdana" w:eastAsia="Batang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A9D0591"/>
    <w:multiLevelType w:val="hybridMultilevel"/>
    <w:tmpl w:val="83E2F87E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C70E05"/>
    <w:multiLevelType w:val="hybridMultilevel"/>
    <w:tmpl w:val="BCAA5C38"/>
    <w:lvl w:ilvl="0" w:tplc="6E7038CE">
      <w:start w:val="3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44B94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52F175D"/>
    <w:multiLevelType w:val="hybridMultilevel"/>
    <w:tmpl w:val="C3A638E6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6C7399"/>
    <w:multiLevelType w:val="hybridMultilevel"/>
    <w:tmpl w:val="48FECB5C"/>
    <w:lvl w:ilvl="0" w:tplc="55609BA4">
      <w:start w:val="1"/>
      <w:numFmt w:val="decimal"/>
      <w:lvlText w:val="%1."/>
      <w:lvlJc w:val="left"/>
      <w:pPr>
        <w:ind w:left="2081" w:hanging="123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379B6E47"/>
    <w:multiLevelType w:val="hybridMultilevel"/>
    <w:tmpl w:val="6A8A9720"/>
    <w:lvl w:ilvl="0" w:tplc="6E7038CE">
      <w:start w:val="3"/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5747A7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51FE3CCE"/>
    <w:multiLevelType w:val="hybridMultilevel"/>
    <w:tmpl w:val="81ECCF04"/>
    <w:lvl w:ilvl="0" w:tplc="6E7038CE">
      <w:start w:val="3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4D52E1C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B936B4D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03E6BA6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8BA02B7"/>
    <w:multiLevelType w:val="hybridMultilevel"/>
    <w:tmpl w:val="A3EAC0AA"/>
    <w:lvl w:ilvl="0" w:tplc="CCDCCBAE">
      <w:start w:val="5"/>
      <w:numFmt w:val="bullet"/>
      <w:lvlText w:val="-"/>
      <w:lvlJc w:val="left"/>
      <w:pPr>
        <w:ind w:left="1080" w:hanging="360"/>
      </w:pPr>
      <w:rPr>
        <w:rFonts w:ascii="Verdana" w:eastAsia="Batang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62B27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765A2A33"/>
    <w:multiLevelType w:val="hybridMultilevel"/>
    <w:tmpl w:val="D9B6B5F0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76EA4C8D"/>
    <w:multiLevelType w:val="hybridMultilevel"/>
    <w:tmpl w:val="D9B6B5F0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7060090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7CF05697"/>
    <w:multiLevelType w:val="multilevel"/>
    <w:tmpl w:val="EC422AD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31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1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8" w15:restartNumberingAfterBreak="0">
    <w:nsid w:val="7DB6007E"/>
    <w:multiLevelType w:val="hybridMultilevel"/>
    <w:tmpl w:val="31BC417C"/>
    <w:lvl w:ilvl="0" w:tplc="604A8F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7FC5042B"/>
    <w:multiLevelType w:val="hybridMultilevel"/>
    <w:tmpl w:val="345E8122"/>
    <w:lvl w:ilvl="0" w:tplc="A8DA44B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18"/>
  </w:num>
  <w:num w:numId="3">
    <w:abstractNumId w:val="1"/>
  </w:num>
  <w:num w:numId="4">
    <w:abstractNumId w:val="14"/>
  </w:num>
  <w:num w:numId="5">
    <w:abstractNumId w:val="8"/>
  </w:num>
  <w:num w:numId="6">
    <w:abstractNumId w:val="29"/>
  </w:num>
  <w:num w:numId="7">
    <w:abstractNumId w:val="0"/>
  </w:num>
  <w:num w:numId="8">
    <w:abstractNumId w:val="27"/>
  </w:num>
  <w:num w:numId="9">
    <w:abstractNumId w:val="15"/>
  </w:num>
  <w:num w:numId="10">
    <w:abstractNumId w:val="11"/>
  </w:num>
  <w:num w:numId="11">
    <w:abstractNumId w:val="22"/>
  </w:num>
  <w:num w:numId="12">
    <w:abstractNumId w:val="7"/>
  </w:num>
  <w:num w:numId="13">
    <w:abstractNumId w:val="3"/>
  </w:num>
  <w:num w:numId="14">
    <w:abstractNumId w:val="4"/>
  </w:num>
  <w:num w:numId="15">
    <w:abstractNumId w:val="12"/>
  </w:num>
  <w:num w:numId="16">
    <w:abstractNumId w:val="25"/>
  </w:num>
  <w:num w:numId="17">
    <w:abstractNumId w:val="13"/>
  </w:num>
  <w:num w:numId="18">
    <w:abstractNumId w:val="23"/>
  </w:num>
  <w:num w:numId="19">
    <w:abstractNumId w:val="21"/>
  </w:num>
  <w:num w:numId="20">
    <w:abstractNumId w:val="17"/>
  </w:num>
  <w:num w:numId="21">
    <w:abstractNumId w:val="2"/>
  </w:num>
  <w:num w:numId="22">
    <w:abstractNumId w:val="20"/>
  </w:num>
  <w:num w:numId="23">
    <w:abstractNumId w:val="19"/>
  </w:num>
  <w:num w:numId="24">
    <w:abstractNumId w:val="9"/>
  </w:num>
  <w:num w:numId="25">
    <w:abstractNumId w:val="28"/>
  </w:num>
  <w:num w:numId="26">
    <w:abstractNumId w:val="26"/>
  </w:num>
  <w:num w:numId="27">
    <w:abstractNumId w:val="5"/>
  </w:num>
  <w:num w:numId="28">
    <w:abstractNumId w:val="24"/>
  </w:num>
  <w:num w:numId="29">
    <w:abstractNumId w:val="10"/>
  </w:num>
  <w:num w:numId="30">
    <w:abstractNumId w:val="1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3E6"/>
    <w:rsid w:val="000023CF"/>
    <w:rsid w:val="000033C3"/>
    <w:rsid w:val="00010085"/>
    <w:rsid w:val="00010388"/>
    <w:rsid w:val="000168AA"/>
    <w:rsid w:val="00026F42"/>
    <w:rsid w:val="0003263B"/>
    <w:rsid w:val="0003341D"/>
    <w:rsid w:val="00034947"/>
    <w:rsid w:val="00037CFE"/>
    <w:rsid w:val="00041AEF"/>
    <w:rsid w:val="000511BF"/>
    <w:rsid w:val="00052709"/>
    <w:rsid w:val="00054BA1"/>
    <w:rsid w:val="00061B59"/>
    <w:rsid w:val="000622B8"/>
    <w:rsid w:val="00063415"/>
    <w:rsid w:val="0007381F"/>
    <w:rsid w:val="000742B5"/>
    <w:rsid w:val="00075F43"/>
    <w:rsid w:val="0008093F"/>
    <w:rsid w:val="000923F8"/>
    <w:rsid w:val="000B3F57"/>
    <w:rsid w:val="000B6F40"/>
    <w:rsid w:val="000C0CB7"/>
    <w:rsid w:val="000C32CE"/>
    <w:rsid w:val="000C4327"/>
    <w:rsid w:val="000D140A"/>
    <w:rsid w:val="000D2D17"/>
    <w:rsid w:val="000D3540"/>
    <w:rsid w:val="000E2884"/>
    <w:rsid w:val="000E3DF3"/>
    <w:rsid w:val="000E4CE1"/>
    <w:rsid w:val="000E6D50"/>
    <w:rsid w:val="000F02FD"/>
    <w:rsid w:val="000F17F8"/>
    <w:rsid w:val="000F20E2"/>
    <w:rsid w:val="000F391A"/>
    <w:rsid w:val="000F516B"/>
    <w:rsid w:val="001019E7"/>
    <w:rsid w:val="00105455"/>
    <w:rsid w:val="00114973"/>
    <w:rsid w:val="001169EA"/>
    <w:rsid w:val="00117BC3"/>
    <w:rsid w:val="00120498"/>
    <w:rsid w:val="0012215C"/>
    <w:rsid w:val="0013062E"/>
    <w:rsid w:val="001311B3"/>
    <w:rsid w:val="00132341"/>
    <w:rsid w:val="00133105"/>
    <w:rsid w:val="001331A6"/>
    <w:rsid w:val="001408A6"/>
    <w:rsid w:val="0015652E"/>
    <w:rsid w:val="00165FE8"/>
    <w:rsid w:val="00166F26"/>
    <w:rsid w:val="00171E86"/>
    <w:rsid w:val="001756B6"/>
    <w:rsid w:val="00175D41"/>
    <w:rsid w:val="00181938"/>
    <w:rsid w:val="00181A60"/>
    <w:rsid w:val="00181BB8"/>
    <w:rsid w:val="00183DCF"/>
    <w:rsid w:val="001918D5"/>
    <w:rsid w:val="001967CB"/>
    <w:rsid w:val="001B47DF"/>
    <w:rsid w:val="001B78E4"/>
    <w:rsid w:val="001C506B"/>
    <w:rsid w:val="001C7EEC"/>
    <w:rsid w:val="001D2C4F"/>
    <w:rsid w:val="001D3B7C"/>
    <w:rsid w:val="001E1C94"/>
    <w:rsid w:val="001E4721"/>
    <w:rsid w:val="001E5A96"/>
    <w:rsid w:val="001E624A"/>
    <w:rsid w:val="001F28A2"/>
    <w:rsid w:val="001F56D5"/>
    <w:rsid w:val="00206F7A"/>
    <w:rsid w:val="002073D2"/>
    <w:rsid w:val="00207677"/>
    <w:rsid w:val="00212933"/>
    <w:rsid w:val="00220975"/>
    <w:rsid w:val="0022438B"/>
    <w:rsid w:val="002269A1"/>
    <w:rsid w:val="00230A0E"/>
    <w:rsid w:val="002456E1"/>
    <w:rsid w:val="00246217"/>
    <w:rsid w:val="0026496F"/>
    <w:rsid w:val="00265C10"/>
    <w:rsid w:val="0026642B"/>
    <w:rsid w:val="00273301"/>
    <w:rsid w:val="0029324B"/>
    <w:rsid w:val="00294A53"/>
    <w:rsid w:val="00294E43"/>
    <w:rsid w:val="002A0BDE"/>
    <w:rsid w:val="002A1D50"/>
    <w:rsid w:val="002A4C1B"/>
    <w:rsid w:val="002B0E77"/>
    <w:rsid w:val="002B21EE"/>
    <w:rsid w:val="002B48BA"/>
    <w:rsid w:val="002D7EAD"/>
    <w:rsid w:val="002E13DE"/>
    <w:rsid w:val="002E412D"/>
    <w:rsid w:val="002F33C9"/>
    <w:rsid w:val="002F3DA8"/>
    <w:rsid w:val="002F522A"/>
    <w:rsid w:val="0030527D"/>
    <w:rsid w:val="00306E41"/>
    <w:rsid w:val="0031012F"/>
    <w:rsid w:val="00311131"/>
    <w:rsid w:val="00312493"/>
    <w:rsid w:val="0031256B"/>
    <w:rsid w:val="00325B15"/>
    <w:rsid w:val="00331E37"/>
    <w:rsid w:val="003350CD"/>
    <w:rsid w:val="00336E49"/>
    <w:rsid w:val="00341137"/>
    <w:rsid w:val="003450EE"/>
    <w:rsid w:val="00346466"/>
    <w:rsid w:val="003526B1"/>
    <w:rsid w:val="00352F0E"/>
    <w:rsid w:val="003553C7"/>
    <w:rsid w:val="00355458"/>
    <w:rsid w:val="00360936"/>
    <w:rsid w:val="0037103B"/>
    <w:rsid w:val="0037546D"/>
    <w:rsid w:val="003808C2"/>
    <w:rsid w:val="00390F38"/>
    <w:rsid w:val="0039667D"/>
    <w:rsid w:val="003A3182"/>
    <w:rsid w:val="003B0100"/>
    <w:rsid w:val="003B0317"/>
    <w:rsid w:val="003B37E7"/>
    <w:rsid w:val="003B6A11"/>
    <w:rsid w:val="003C5FA1"/>
    <w:rsid w:val="003C7BD2"/>
    <w:rsid w:val="003D1546"/>
    <w:rsid w:val="003D2C50"/>
    <w:rsid w:val="003D3461"/>
    <w:rsid w:val="003D5B72"/>
    <w:rsid w:val="003D7DDD"/>
    <w:rsid w:val="003E0391"/>
    <w:rsid w:val="003E3BC4"/>
    <w:rsid w:val="003E7425"/>
    <w:rsid w:val="00400656"/>
    <w:rsid w:val="00400CB5"/>
    <w:rsid w:val="00402A14"/>
    <w:rsid w:val="00415EFB"/>
    <w:rsid w:val="00416028"/>
    <w:rsid w:val="004211D7"/>
    <w:rsid w:val="004213CD"/>
    <w:rsid w:val="00421764"/>
    <w:rsid w:val="00422EAA"/>
    <w:rsid w:val="0042409E"/>
    <w:rsid w:val="00450B95"/>
    <w:rsid w:val="004541D5"/>
    <w:rsid w:val="00461628"/>
    <w:rsid w:val="004664CB"/>
    <w:rsid w:val="00476C8B"/>
    <w:rsid w:val="00480EC5"/>
    <w:rsid w:val="00491017"/>
    <w:rsid w:val="00491AE2"/>
    <w:rsid w:val="0049403A"/>
    <w:rsid w:val="00497380"/>
    <w:rsid w:val="00497AD9"/>
    <w:rsid w:val="004B3286"/>
    <w:rsid w:val="004B5EFC"/>
    <w:rsid w:val="004B6D91"/>
    <w:rsid w:val="004C0DB5"/>
    <w:rsid w:val="004C2139"/>
    <w:rsid w:val="004C3376"/>
    <w:rsid w:val="004F1657"/>
    <w:rsid w:val="004F2FDF"/>
    <w:rsid w:val="00502598"/>
    <w:rsid w:val="00506CE3"/>
    <w:rsid w:val="00515592"/>
    <w:rsid w:val="00521413"/>
    <w:rsid w:val="00526D84"/>
    <w:rsid w:val="00532B8C"/>
    <w:rsid w:val="00543198"/>
    <w:rsid w:val="00552594"/>
    <w:rsid w:val="00553352"/>
    <w:rsid w:val="00554CCA"/>
    <w:rsid w:val="00561275"/>
    <w:rsid w:val="00573695"/>
    <w:rsid w:val="00575676"/>
    <w:rsid w:val="00582382"/>
    <w:rsid w:val="005974A5"/>
    <w:rsid w:val="005A1BE8"/>
    <w:rsid w:val="005A1C24"/>
    <w:rsid w:val="005A57DB"/>
    <w:rsid w:val="005C06C9"/>
    <w:rsid w:val="005C258C"/>
    <w:rsid w:val="005C3885"/>
    <w:rsid w:val="005D2EFF"/>
    <w:rsid w:val="005E4B21"/>
    <w:rsid w:val="005E4D65"/>
    <w:rsid w:val="005E6E1A"/>
    <w:rsid w:val="005F2083"/>
    <w:rsid w:val="005F66A6"/>
    <w:rsid w:val="005F759D"/>
    <w:rsid w:val="00603298"/>
    <w:rsid w:val="00604020"/>
    <w:rsid w:val="006054C0"/>
    <w:rsid w:val="00612E1A"/>
    <w:rsid w:val="00615E9B"/>
    <w:rsid w:val="00634465"/>
    <w:rsid w:val="006350B2"/>
    <w:rsid w:val="00635BE9"/>
    <w:rsid w:val="00636909"/>
    <w:rsid w:val="00642B4C"/>
    <w:rsid w:val="00645A6C"/>
    <w:rsid w:val="0064772D"/>
    <w:rsid w:val="006513BB"/>
    <w:rsid w:val="00653904"/>
    <w:rsid w:val="006565AF"/>
    <w:rsid w:val="00663CEB"/>
    <w:rsid w:val="00663EA0"/>
    <w:rsid w:val="00671452"/>
    <w:rsid w:val="00675E55"/>
    <w:rsid w:val="006776CF"/>
    <w:rsid w:val="00685618"/>
    <w:rsid w:val="00685731"/>
    <w:rsid w:val="00687BA5"/>
    <w:rsid w:val="006909B0"/>
    <w:rsid w:val="006910DA"/>
    <w:rsid w:val="006920FC"/>
    <w:rsid w:val="00693F8D"/>
    <w:rsid w:val="00695450"/>
    <w:rsid w:val="00696823"/>
    <w:rsid w:val="006A1D65"/>
    <w:rsid w:val="006B4A65"/>
    <w:rsid w:val="006B5960"/>
    <w:rsid w:val="006C5BFE"/>
    <w:rsid w:val="006C5E78"/>
    <w:rsid w:val="006D04D0"/>
    <w:rsid w:val="006D1F62"/>
    <w:rsid w:val="006D2BCD"/>
    <w:rsid w:val="006E38EF"/>
    <w:rsid w:val="006E5E87"/>
    <w:rsid w:val="0071136C"/>
    <w:rsid w:val="00712084"/>
    <w:rsid w:val="00712465"/>
    <w:rsid w:val="00727BEA"/>
    <w:rsid w:val="00741504"/>
    <w:rsid w:val="007444E5"/>
    <w:rsid w:val="0074760E"/>
    <w:rsid w:val="00750D96"/>
    <w:rsid w:val="007512E2"/>
    <w:rsid w:val="00753E56"/>
    <w:rsid w:val="007548C6"/>
    <w:rsid w:val="00757787"/>
    <w:rsid w:val="007613E6"/>
    <w:rsid w:val="00765AE5"/>
    <w:rsid w:val="00766D32"/>
    <w:rsid w:val="00776615"/>
    <w:rsid w:val="007931FE"/>
    <w:rsid w:val="007A14F3"/>
    <w:rsid w:val="007A6AC4"/>
    <w:rsid w:val="007B61CC"/>
    <w:rsid w:val="007C3CE9"/>
    <w:rsid w:val="007D0AA2"/>
    <w:rsid w:val="007E679B"/>
    <w:rsid w:val="008051A2"/>
    <w:rsid w:val="008077E5"/>
    <w:rsid w:val="0081200B"/>
    <w:rsid w:val="00816D0A"/>
    <w:rsid w:val="00823B9C"/>
    <w:rsid w:val="008244C5"/>
    <w:rsid w:val="00825F72"/>
    <w:rsid w:val="00837844"/>
    <w:rsid w:val="00840097"/>
    <w:rsid w:val="00841DC0"/>
    <w:rsid w:val="0085215D"/>
    <w:rsid w:val="0086344E"/>
    <w:rsid w:val="00864CB1"/>
    <w:rsid w:val="00865275"/>
    <w:rsid w:val="00867A20"/>
    <w:rsid w:val="00867EEF"/>
    <w:rsid w:val="00871C6B"/>
    <w:rsid w:val="008743C9"/>
    <w:rsid w:val="00875D21"/>
    <w:rsid w:val="008764C3"/>
    <w:rsid w:val="00881ADD"/>
    <w:rsid w:val="00883FF9"/>
    <w:rsid w:val="00890C70"/>
    <w:rsid w:val="00891301"/>
    <w:rsid w:val="00891FE4"/>
    <w:rsid w:val="008A3948"/>
    <w:rsid w:val="008A73BE"/>
    <w:rsid w:val="008A7631"/>
    <w:rsid w:val="008B384D"/>
    <w:rsid w:val="008B6274"/>
    <w:rsid w:val="008D46AC"/>
    <w:rsid w:val="008D79B6"/>
    <w:rsid w:val="008E075E"/>
    <w:rsid w:val="008E1F4C"/>
    <w:rsid w:val="008E2734"/>
    <w:rsid w:val="008F584A"/>
    <w:rsid w:val="00901862"/>
    <w:rsid w:val="00903BF6"/>
    <w:rsid w:val="00904AB0"/>
    <w:rsid w:val="00912FA4"/>
    <w:rsid w:val="00913DE3"/>
    <w:rsid w:val="009169B7"/>
    <w:rsid w:val="00916C04"/>
    <w:rsid w:val="009219C8"/>
    <w:rsid w:val="00924ECE"/>
    <w:rsid w:val="00927910"/>
    <w:rsid w:val="009344A2"/>
    <w:rsid w:val="0093770B"/>
    <w:rsid w:val="0094239E"/>
    <w:rsid w:val="00944F90"/>
    <w:rsid w:val="0094628C"/>
    <w:rsid w:val="00947FE8"/>
    <w:rsid w:val="009610A8"/>
    <w:rsid w:val="009618EC"/>
    <w:rsid w:val="0096292B"/>
    <w:rsid w:val="0096483F"/>
    <w:rsid w:val="00965884"/>
    <w:rsid w:val="00973551"/>
    <w:rsid w:val="009758CC"/>
    <w:rsid w:val="00980C6E"/>
    <w:rsid w:val="00982A70"/>
    <w:rsid w:val="00983D60"/>
    <w:rsid w:val="00983EE2"/>
    <w:rsid w:val="00986617"/>
    <w:rsid w:val="00990F05"/>
    <w:rsid w:val="00995641"/>
    <w:rsid w:val="00995AF3"/>
    <w:rsid w:val="009A28DB"/>
    <w:rsid w:val="009B2ED7"/>
    <w:rsid w:val="009B7D5A"/>
    <w:rsid w:val="009C47FC"/>
    <w:rsid w:val="009C6D2B"/>
    <w:rsid w:val="009D30B5"/>
    <w:rsid w:val="009F2BF5"/>
    <w:rsid w:val="009F3F0B"/>
    <w:rsid w:val="009F4017"/>
    <w:rsid w:val="00A1567E"/>
    <w:rsid w:val="00A178BB"/>
    <w:rsid w:val="00A2239E"/>
    <w:rsid w:val="00A2308A"/>
    <w:rsid w:val="00A239BD"/>
    <w:rsid w:val="00A27033"/>
    <w:rsid w:val="00A367AE"/>
    <w:rsid w:val="00A403AA"/>
    <w:rsid w:val="00A40A22"/>
    <w:rsid w:val="00A45E0B"/>
    <w:rsid w:val="00A4661A"/>
    <w:rsid w:val="00A50F0F"/>
    <w:rsid w:val="00A55793"/>
    <w:rsid w:val="00A71FC3"/>
    <w:rsid w:val="00A75647"/>
    <w:rsid w:val="00A75B2E"/>
    <w:rsid w:val="00A83E79"/>
    <w:rsid w:val="00A90E88"/>
    <w:rsid w:val="00AA558E"/>
    <w:rsid w:val="00AA63D9"/>
    <w:rsid w:val="00AA6A4F"/>
    <w:rsid w:val="00AA6B32"/>
    <w:rsid w:val="00AB0336"/>
    <w:rsid w:val="00AB6CD8"/>
    <w:rsid w:val="00AC6829"/>
    <w:rsid w:val="00AC6A33"/>
    <w:rsid w:val="00AC6C9B"/>
    <w:rsid w:val="00AD3424"/>
    <w:rsid w:val="00AD391F"/>
    <w:rsid w:val="00AD67FA"/>
    <w:rsid w:val="00AD7078"/>
    <w:rsid w:val="00AE30C7"/>
    <w:rsid w:val="00AF0D3F"/>
    <w:rsid w:val="00AF7E1C"/>
    <w:rsid w:val="00B02430"/>
    <w:rsid w:val="00B04845"/>
    <w:rsid w:val="00B10AA6"/>
    <w:rsid w:val="00B1334F"/>
    <w:rsid w:val="00B222D9"/>
    <w:rsid w:val="00B40FAD"/>
    <w:rsid w:val="00B43705"/>
    <w:rsid w:val="00B5571E"/>
    <w:rsid w:val="00B55882"/>
    <w:rsid w:val="00B56E78"/>
    <w:rsid w:val="00B5779D"/>
    <w:rsid w:val="00B6180A"/>
    <w:rsid w:val="00B66605"/>
    <w:rsid w:val="00B71220"/>
    <w:rsid w:val="00B75551"/>
    <w:rsid w:val="00B76B2F"/>
    <w:rsid w:val="00B76BAD"/>
    <w:rsid w:val="00B87C0D"/>
    <w:rsid w:val="00B93D49"/>
    <w:rsid w:val="00B979A5"/>
    <w:rsid w:val="00BA01BB"/>
    <w:rsid w:val="00BA1B51"/>
    <w:rsid w:val="00BA3581"/>
    <w:rsid w:val="00BA5085"/>
    <w:rsid w:val="00BB0CFD"/>
    <w:rsid w:val="00BB5685"/>
    <w:rsid w:val="00BB6668"/>
    <w:rsid w:val="00BC120C"/>
    <w:rsid w:val="00BC2A89"/>
    <w:rsid w:val="00BC3778"/>
    <w:rsid w:val="00BD0F48"/>
    <w:rsid w:val="00BD30C8"/>
    <w:rsid w:val="00BD6284"/>
    <w:rsid w:val="00BE3585"/>
    <w:rsid w:val="00BE3913"/>
    <w:rsid w:val="00BE7759"/>
    <w:rsid w:val="00BF5887"/>
    <w:rsid w:val="00BF7B02"/>
    <w:rsid w:val="00C07E5B"/>
    <w:rsid w:val="00C138CC"/>
    <w:rsid w:val="00C222E5"/>
    <w:rsid w:val="00C23A99"/>
    <w:rsid w:val="00C23DAD"/>
    <w:rsid w:val="00C3178D"/>
    <w:rsid w:val="00C365D0"/>
    <w:rsid w:val="00C40A53"/>
    <w:rsid w:val="00C40D0E"/>
    <w:rsid w:val="00C41102"/>
    <w:rsid w:val="00C41E1D"/>
    <w:rsid w:val="00C41FE5"/>
    <w:rsid w:val="00C46B81"/>
    <w:rsid w:val="00C4786C"/>
    <w:rsid w:val="00C5060B"/>
    <w:rsid w:val="00C54DBB"/>
    <w:rsid w:val="00C7053F"/>
    <w:rsid w:val="00C70EE1"/>
    <w:rsid w:val="00C7643C"/>
    <w:rsid w:val="00C821B6"/>
    <w:rsid w:val="00C833B6"/>
    <w:rsid w:val="00C856CE"/>
    <w:rsid w:val="00C858EB"/>
    <w:rsid w:val="00C874CF"/>
    <w:rsid w:val="00C9012A"/>
    <w:rsid w:val="00C904E6"/>
    <w:rsid w:val="00CA0543"/>
    <w:rsid w:val="00CA3625"/>
    <w:rsid w:val="00CB0290"/>
    <w:rsid w:val="00CB33B3"/>
    <w:rsid w:val="00CB5B23"/>
    <w:rsid w:val="00CC14ED"/>
    <w:rsid w:val="00CC31FE"/>
    <w:rsid w:val="00CC4E72"/>
    <w:rsid w:val="00CD4FC6"/>
    <w:rsid w:val="00CE07A1"/>
    <w:rsid w:val="00CE36FC"/>
    <w:rsid w:val="00CE73F8"/>
    <w:rsid w:val="00CE7618"/>
    <w:rsid w:val="00CF367A"/>
    <w:rsid w:val="00D337F0"/>
    <w:rsid w:val="00D42DD7"/>
    <w:rsid w:val="00D43377"/>
    <w:rsid w:val="00D47381"/>
    <w:rsid w:val="00D47407"/>
    <w:rsid w:val="00D55DD2"/>
    <w:rsid w:val="00D6281A"/>
    <w:rsid w:val="00D62A3B"/>
    <w:rsid w:val="00D62D74"/>
    <w:rsid w:val="00D7519A"/>
    <w:rsid w:val="00D77D4D"/>
    <w:rsid w:val="00D91821"/>
    <w:rsid w:val="00D92BCF"/>
    <w:rsid w:val="00DA0F40"/>
    <w:rsid w:val="00DA38EB"/>
    <w:rsid w:val="00DB01EB"/>
    <w:rsid w:val="00DB0954"/>
    <w:rsid w:val="00DB2244"/>
    <w:rsid w:val="00DB450E"/>
    <w:rsid w:val="00DB568D"/>
    <w:rsid w:val="00DC703C"/>
    <w:rsid w:val="00DD2454"/>
    <w:rsid w:val="00DD2A89"/>
    <w:rsid w:val="00DE499F"/>
    <w:rsid w:val="00DF0E81"/>
    <w:rsid w:val="00DF15F2"/>
    <w:rsid w:val="00DF2EB6"/>
    <w:rsid w:val="00DF6E70"/>
    <w:rsid w:val="00E03683"/>
    <w:rsid w:val="00E10E3E"/>
    <w:rsid w:val="00E11D63"/>
    <w:rsid w:val="00E20449"/>
    <w:rsid w:val="00E32AAF"/>
    <w:rsid w:val="00E32EC4"/>
    <w:rsid w:val="00E40CD6"/>
    <w:rsid w:val="00E42C9C"/>
    <w:rsid w:val="00E42D85"/>
    <w:rsid w:val="00E42DE1"/>
    <w:rsid w:val="00E43970"/>
    <w:rsid w:val="00E46D04"/>
    <w:rsid w:val="00E53744"/>
    <w:rsid w:val="00E53E17"/>
    <w:rsid w:val="00E57521"/>
    <w:rsid w:val="00E632AA"/>
    <w:rsid w:val="00E66399"/>
    <w:rsid w:val="00E742C1"/>
    <w:rsid w:val="00E80B4A"/>
    <w:rsid w:val="00E833E5"/>
    <w:rsid w:val="00E85B6C"/>
    <w:rsid w:val="00E91EEF"/>
    <w:rsid w:val="00E978D0"/>
    <w:rsid w:val="00EA1FBF"/>
    <w:rsid w:val="00EA2109"/>
    <w:rsid w:val="00EA3A21"/>
    <w:rsid w:val="00EA5DE0"/>
    <w:rsid w:val="00EA7EF2"/>
    <w:rsid w:val="00EB01BC"/>
    <w:rsid w:val="00EB02E6"/>
    <w:rsid w:val="00EC3675"/>
    <w:rsid w:val="00EC3E9A"/>
    <w:rsid w:val="00ED3663"/>
    <w:rsid w:val="00EE40FA"/>
    <w:rsid w:val="00EE5D96"/>
    <w:rsid w:val="00EF28A8"/>
    <w:rsid w:val="00EF4DCE"/>
    <w:rsid w:val="00EF75D6"/>
    <w:rsid w:val="00F02C16"/>
    <w:rsid w:val="00F073DF"/>
    <w:rsid w:val="00F10D9C"/>
    <w:rsid w:val="00F162C9"/>
    <w:rsid w:val="00F2115E"/>
    <w:rsid w:val="00F259B6"/>
    <w:rsid w:val="00F25BE8"/>
    <w:rsid w:val="00F33337"/>
    <w:rsid w:val="00F41376"/>
    <w:rsid w:val="00F41D27"/>
    <w:rsid w:val="00F476EE"/>
    <w:rsid w:val="00F667E3"/>
    <w:rsid w:val="00F70C19"/>
    <w:rsid w:val="00F73E5E"/>
    <w:rsid w:val="00F81152"/>
    <w:rsid w:val="00F82613"/>
    <w:rsid w:val="00F82DC1"/>
    <w:rsid w:val="00F8447E"/>
    <w:rsid w:val="00FB44E9"/>
    <w:rsid w:val="00FB5CD4"/>
    <w:rsid w:val="00FC283C"/>
    <w:rsid w:val="00FC2A17"/>
    <w:rsid w:val="00FC5EA7"/>
    <w:rsid w:val="00FE06A2"/>
    <w:rsid w:val="00FF23C0"/>
    <w:rsid w:val="00FF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7572B2"/>
  <w15:docId w15:val="{DF12B402-589F-4F15-AEF9-715A50DFF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3E6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7613E6"/>
    <w:pPr>
      <w:keepNext/>
      <w:widowControl w:val="0"/>
      <w:shd w:val="clear" w:color="auto" w:fill="FFFFFF"/>
      <w:autoSpaceDE w:val="0"/>
      <w:autoSpaceDN w:val="0"/>
      <w:adjustRightInd w:val="0"/>
      <w:jc w:val="both"/>
      <w:outlineLvl w:val="0"/>
    </w:pPr>
    <w:rPr>
      <w:lang w:val="bg-BG"/>
    </w:rPr>
  </w:style>
  <w:style w:type="paragraph" w:styleId="Heading4">
    <w:name w:val="heading 4"/>
    <w:basedOn w:val="Normal"/>
    <w:next w:val="Normal"/>
    <w:link w:val="Heading4Char"/>
    <w:qFormat/>
    <w:rsid w:val="007613E6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3"/>
    </w:pPr>
    <w:rPr>
      <w:b/>
      <w:bCs/>
      <w:color w:val="000000"/>
      <w:sz w:val="23"/>
      <w:szCs w:val="23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13E6"/>
    <w:rPr>
      <w:rFonts w:ascii="Times New Roman" w:eastAsia="Batang" w:hAnsi="Times New Roman" w:cs="Times New Roman"/>
      <w:sz w:val="24"/>
      <w:szCs w:val="24"/>
      <w:shd w:val="clear" w:color="auto" w:fill="FFFFFF"/>
      <w:lang w:val="bg-BG" w:eastAsia="en-US"/>
    </w:rPr>
  </w:style>
  <w:style w:type="character" w:customStyle="1" w:styleId="Heading4Char">
    <w:name w:val="Heading 4 Char"/>
    <w:basedOn w:val="DefaultParagraphFont"/>
    <w:link w:val="Heading4"/>
    <w:rsid w:val="007613E6"/>
    <w:rPr>
      <w:rFonts w:ascii="Times New Roman" w:eastAsia="Batang" w:hAnsi="Times New Roman" w:cs="Times New Roman"/>
      <w:b/>
      <w:bCs/>
      <w:color w:val="000000"/>
      <w:sz w:val="23"/>
      <w:szCs w:val="23"/>
      <w:shd w:val="clear" w:color="auto" w:fill="FFFFFF"/>
      <w:lang w:val="bg-BG" w:eastAsia="en-US"/>
    </w:rPr>
  </w:style>
  <w:style w:type="paragraph" w:styleId="Footer">
    <w:name w:val="footer"/>
    <w:basedOn w:val="Normal"/>
    <w:link w:val="FooterChar"/>
    <w:rsid w:val="007613E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613E6"/>
    <w:rPr>
      <w:rFonts w:ascii="Times New Roman" w:eastAsia="Batang" w:hAnsi="Times New Roman" w:cs="Times New Roman"/>
      <w:sz w:val="24"/>
      <w:szCs w:val="24"/>
      <w:lang w:val="en-GB" w:eastAsia="en-US"/>
    </w:rPr>
  </w:style>
  <w:style w:type="character" w:styleId="PageNumber">
    <w:name w:val="page number"/>
    <w:basedOn w:val="DefaultParagraphFont"/>
    <w:rsid w:val="007613E6"/>
  </w:style>
  <w:style w:type="paragraph" w:styleId="Header">
    <w:name w:val="header"/>
    <w:basedOn w:val="Normal"/>
    <w:link w:val="HeaderChar"/>
    <w:rsid w:val="007613E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613E6"/>
    <w:rPr>
      <w:rFonts w:ascii="Times New Roman" w:eastAsia="Batang" w:hAnsi="Times New Roman" w:cs="Times New Roman"/>
      <w:sz w:val="24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613E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IE"/>
    </w:rPr>
  </w:style>
  <w:style w:type="character" w:customStyle="1" w:styleId="st1">
    <w:name w:val="st1"/>
    <w:rsid w:val="007613E6"/>
  </w:style>
  <w:style w:type="paragraph" w:styleId="BalloonText">
    <w:name w:val="Balloon Text"/>
    <w:basedOn w:val="Normal"/>
    <w:link w:val="BalloonTextChar"/>
    <w:uiPriority w:val="99"/>
    <w:semiHidden/>
    <w:unhideWhenUsed/>
    <w:rsid w:val="007613E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E6"/>
    <w:rPr>
      <w:rFonts w:ascii="Tahoma" w:eastAsia="Batang" w:hAnsi="Tahoma" w:cs="Tahoma"/>
      <w:sz w:val="16"/>
      <w:szCs w:val="16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31012F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12215C"/>
    <w:pPr>
      <w:ind w:firstLine="990"/>
      <w:jc w:val="both"/>
    </w:pPr>
    <w:rPr>
      <w:rFonts w:eastAsia="Times New Roman"/>
      <w:color w:val="000000"/>
      <w:lang w:val="en-US" w:eastAsia="zh-CN"/>
    </w:rPr>
  </w:style>
  <w:style w:type="paragraph" w:customStyle="1" w:styleId="m">
    <w:name w:val="m"/>
    <w:basedOn w:val="Normal"/>
    <w:rsid w:val="0012215C"/>
    <w:pPr>
      <w:ind w:firstLine="990"/>
      <w:jc w:val="both"/>
    </w:pPr>
    <w:rPr>
      <w:rFonts w:eastAsia="Times New Roman"/>
      <w:color w:val="000000"/>
      <w:lang w:val="en-US" w:eastAsia="zh-CN"/>
    </w:rPr>
  </w:style>
  <w:style w:type="paragraph" w:customStyle="1" w:styleId="modref2">
    <w:name w:val="modref2"/>
    <w:basedOn w:val="Normal"/>
    <w:rsid w:val="00037CFE"/>
    <w:pPr>
      <w:spacing w:before="120" w:line="312" w:lineRule="atLeast"/>
    </w:pPr>
    <w:rPr>
      <w:rFonts w:eastAsia="Times New Roman"/>
      <w:b/>
      <w:bCs/>
      <w:lang w:val="bg-BG" w:eastAsia="bg-BG"/>
    </w:rPr>
  </w:style>
  <w:style w:type="paragraph" w:customStyle="1" w:styleId="norm4">
    <w:name w:val="norm4"/>
    <w:basedOn w:val="Normal"/>
    <w:rsid w:val="00037CFE"/>
    <w:pPr>
      <w:spacing w:before="120" w:line="312" w:lineRule="atLeast"/>
      <w:jc w:val="both"/>
    </w:pPr>
    <w:rPr>
      <w:rFonts w:eastAsia="Times New Roman"/>
      <w:lang w:val="bg-BG" w:eastAsia="bg-BG"/>
    </w:rPr>
  </w:style>
  <w:style w:type="paragraph" w:customStyle="1" w:styleId="stitle-article-norm2">
    <w:name w:val="stitle-article-norm2"/>
    <w:basedOn w:val="Normal"/>
    <w:rsid w:val="00037CFE"/>
    <w:pPr>
      <w:spacing w:before="240" w:after="120" w:line="312" w:lineRule="atLeast"/>
      <w:jc w:val="center"/>
    </w:pPr>
    <w:rPr>
      <w:rFonts w:eastAsia="Times New Roman"/>
      <w:b/>
      <w:bCs/>
      <w:lang w:val="bg-BG" w:eastAsia="bg-BG"/>
    </w:rPr>
  </w:style>
  <w:style w:type="paragraph" w:customStyle="1" w:styleId="title-article-norm2">
    <w:name w:val="title-article-norm2"/>
    <w:basedOn w:val="Normal"/>
    <w:rsid w:val="00037CFE"/>
    <w:pPr>
      <w:spacing w:before="240" w:after="120" w:line="312" w:lineRule="atLeast"/>
      <w:jc w:val="center"/>
    </w:pPr>
    <w:rPr>
      <w:rFonts w:eastAsia="Times New Roman"/>
      <w:i/>
      <w:iCs/>
      <w:lang w:val="bg-BG" w:eastAsia="bg-BG"/>
    </w:rPr>
  </w:style>
  <w:style w:type="character" w:styleId="IntenseEmphasis">
    <w:name w:val="Intense Emphasis"/>
    <w:basedOn w:val="DefaultParagraphFont"/>
    <w:uiPriority w:val="21"/>
    <w:qFormat/>
    <w:rsid w:val="00BB6668"/>
    <w:rPr>
      <w:b/>
      <w:bCs/>
      <w:i/>
      <w:iCs/>
      <w:color w:val="4F81BD" w:themeColor="accent1"/>
    </w:rPr>
  </w:style>
  <w:style w:type="table" w:styleId="TableGrid">
    <w:name w:val="Table Grid"/>
    <w:basedOn w:val="TableNormal"/>
    <w:uiPriority w:val="59"/>
    <w:rsid w:val="00DF1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9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69650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30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66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8484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261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308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330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303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404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0306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3315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08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0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514713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82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223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063243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9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9029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528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096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32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3389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0400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9043253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9228450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5145908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27842706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88071102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3819876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43108345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6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659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9981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56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1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42407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08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800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35017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659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81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77828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0427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8430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7398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1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61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167032">
                      <w:marLeft w:val="-150"/>
                      <w:marRight w:val="-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51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32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8087450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864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3647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4563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897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02958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5651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6981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77798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931250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20093557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393627744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91576458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90755801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87050677">
                                                                  <w:marLeft w:val="48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7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F18DF-087A-4CB3-900D-A45C335E6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965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Popova</dc:creator>
  <cp:lastModifiedBy>Kalina Popova</cp:lastModifiedBy>
  <cp:revision>13</cp:revision>
  <cp:lastPrinted>2023-01-05T07:44:00Z</cp:lastPrinted>
  <dcterms:created xsi:type="dcterms:W3CDTF">2023-07-19T07:04:00Z</dcterms:created>
  <dcterms:modified xsi:type="dcterms:W3CDTF">2023-07-25T07:32:00Z</dcterms:modified>
</cp:coreProperties>
</file>